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6AA2E7" w14:textId="6A89A084" w:rsidR="00F12409" w:rsidRDefault="00911060" w:rsidP="00911060">
      <w:pPr>
        <w:spacing w:after="0" w:line="288" w:lineRule="auto"/>
        <w:jc w:val="center"/>
        <w:rPr>
          <w:rFonts w:ascii="ITC Berkeley Oldstyle Book" w:hAnsi="ITC Berkeley Oldstyle Book" w:cs="Times New Roman"/>
          <w:sz w:val="24"/>
          <w:szCs w:val="24"/>
        </w:rPr>
      </w:pPr>
      <w:bookmarkStart w:id="0" w:name="_Hlk212706479"/>
      <w:r w:rsidRPr="008034C9">
        <w:rPr>
          <w:rFonts w:ascii="ITC Berkeley Oldstyle Book" w:hAnsi="ITC Berkeley Oldstyle Book" w:cs="Times New Roman"/>
          <w:sz w:val="24"/>
          <w:szCs w:val="24"/>
        </w:rPr>
        <w:t xml:space="preserve">PROJETO DE LEI DA CÂMARA N. </w:t>
      </w:r>
      <w:r w:rsidR="00BC12BF">
        <w:rPr>
          <w:rFonts w:ascii="ITC Berkeley Oldstyle Book" w:hAnsi="ITC Berkeley Oldstyle Book" w:cs="Times New Roman"/>
          <w:sz w:val="24"/>
          <w:szCs w:val="24"/>
        </w:rPr>
        <w:t>1</w:t>
      </w:r>
      <w:r w:rsidR="00723626">
        <w:rPr>
          <w:rFonts w:ascii="ITC Berkeley Oldstyle Book" w:hAnsi="ITC Berkeley Oldstyle Book" w:cs="Times New Roman"/>
          <w:sz w:val="24"/>
          <w:szCs w:val="24"/>
        </w:rPr>
        <w:t>4</w:t>
      </w:r>
      <w:r w:rsidRPr="008034C9">
        <w:rPr>
          <w:rFonts w:ascii="ITC Berkeley Oldstyle Book" w:hAnsi="ITC Berkeley Oldstyle Book" w:cs="Times New Roman"/>
          <w:sz w:val="24"/>
          <w:szCs w:val="24"/>
        </w:rPr>
        <w:t xml:space="preserve">, de </w:t>
      </w:r>
      <w:r w:rsidR="00352D58">
        <w:rPr>
          <w:rFonts w:ascii="ITC Berkeley Oldstyle Book" w:hAnsi="ITC Berkeley Oldstyle Book" w:cs="Times New Roman"/>
          <w:sz w:val="24"/>
          <w:szCs w:val="24"/>
        </w:rPr>
        <w:t>0</w:t>
      </w:r>
      <w:r w:rsidR="00723626">
        <w:rPr>
          <w:rFonts w:ascii="ITC Berkeley Oldstyle Book" w:hAnsi="ITC Berkeley Oldstyle Book" w:cs="Times New Roman"/>
          <w:sz w:val="24"/>
          <w:szCs w:val="24"/>
        </w:rPr>
        <w:t>3</w:t>
      </w:r>
      <w:r w:rsidRPr="008034C9">
        <w:rPr>
          <w:rFonts w:ascii="ITC Berkeley Oldstyle Book" w:hAnsi="ITC Berkeley Oldstyle Book" w:cs="Times New Roman"/>
          <w:sz w:val="24"/>
          <w:szCs w:val="24"/>
        </w:rPr>
        <w:t xml:space="preserve"> de </w:t>
      </w:r>
      <w:r w:rsidR="00723626">
        <w:rPr>
          <w:rFonts w:ascii="ITC Berkeley Oldstyle Book" w:hAnsi="ITC Berkeley Oldstyle Book" w:cs="Times New Roman"/>
          <w:sz w:val="24"/>
          <w:szCs w:val="24"/>
        </w:rPr>
        <w:t>dezembro</w:t>
      </w:r>
      <w:r w:rsidR="00EA47B1">
        <w:rPr>
          <w:rFonts w:ascii="ITC Berkeley Oldstyle Book" w:hAnsi="ITC Berkeley Oldstyle Book" w:cs="Times New Roman"/>
          <w:sz w:val="24"/>
          <w:szCs w:val="24"/>
        </w:rPr>
        <w:t xml:space="preserve"> </w:t>
      </w:r>
      <w:r w:rsidRPr="008034C9">
        <w:rPr>
          <w:rFonts w:ascii="ITC Berkeley Oldstyle Book" w:hAnsi="ITC Berkeley Oldstyle Book" w:cs="Times New Roman"/>
          <w:sz w:val="24"/>
          <w:szCs w:val="24"/>
        </w:rPr>
        <w:t>de 2025.</w:t>
      </w:r>
    </w:p>
    <w:p w14:paraId="27D30F5D" w14:textId="015CAC35" w:rsidR="00F12409" w:rsidRPr="008034C9" w:rsidRDefault="00723626" w:rsidP="00911060">
      <w:pPr>
        <w:spacing w:before="360" w:after="360" w:line="288" w:lineRule="auto"/>
        <w:ind w:left="3402"/>
        <w:jc w:val="both"/>
        <w:rPr>
          <w:rFonts w:ascii="ITC Berkeley Oldstyle Book" w:hAnsi="ITC Berkeley Oldstyle Book" w:cs="Times New Roman"/>
          <w:sz w:val="24"/>
          <w:szCs w:val="24"/>
        </w:rPr>
      </w:pPr>
      <w:r w:rsidRPr="00723626">
        <w:rPr>
          <w:rFonts w:ascii="ITC Berkeley Oldstyle Book" w:hAnsi="ITC Berkeley Oldstyle Book" w:cs="Times New Roman"/>
          <w:sz w:val="24"/>
          <w:szCs w:val="24"/>
        </w:rPr>
        <w:t>Dispõe sobre a obrigatoriedade de instalação de guarda-volumes nas agências bancárias localizadas no Município</w:t>
      </w:r>
      <w:r>
        <w:rPr>
          <w:rFonts w:ascii="ITC Berkeley Oldstyle Book" w:hAnsi="ITC Berkeley Oldstyle Book" w:cs="Times New Roman"/>
          <w:sz w:val="24"/>
          <w:szCs w:val="24"/>
        </w:rPr>
        <w:t xml:space="preserve"> de </w:t>
      </w:r>
      <w:r w:rsidR="00352D58" w:rsidRPr="00352D58">
        <w:rPr>
          <w:rFonts w:ascii="ITC Berkeley Oldstyle Book" w:hAnsi="ITC Berkeley Oldstyle Book" w:cs="Times New Roman"/>
          <w:sz w:val="24"/>
          <w:szCs w:val="24"/>
        </w:rPr>
        <w:t>Augustinópolis – TO, e dá outras providências.</w:t>
      </w:r>
    </w:p>
    <w:bookmarkEnd w:id="0"/>
    <w:p w14:paraId="76598063" w14:textId="77777777" w:rsidR="00911060" w:rsidRPr="008034C9" w:rsidRDefault="00911060" w:rsidP="00911060">
      <w:pPr>
        <w:spacing w:after="120"/>
        <w:ind w:firstLine="567"/>
        <w:jc w:val="both"/>
        <w:rPr>
          <w:rFonts w:ascii="ITC Berkeley Oldstyle Book" w:hAnsi="ITC Berkeley Oldstyle Book" w:cs="Times New Roman"/>
          <w:sz w:val="24"/>
          <w:szCs w:val="24"/>
        </w:rPr>
      </w:pPr>
      <w:r w:rsidRPr="008034C9">
        <w:rPr>
          <w:rFonts w:ascii="ITC Berkeley Oldstyle Book" w:hAnsi="ITC Berkeley Oldstyle Book" w:cs="Times New Roman"/>
          <w:sz w:val="24"/>
          <w:szCs w:val="24"/>
        </w:rPr>
        <w:t>A Câmara Municipal de Augustinópolis, aprovou e o Prefeito Municipal sancionou a seguinte Lei</w:t>
      </w:r>
      <w:r w:rsidR="00F12409" w:rsidRPr="008034C9">
        <w:rPr>
          <w:rFonts w:ascii="ITC Berkeley Oldstyle Book" w:hAnsi="ITC Berkeley Oldstyle Book" w:cs="Times New Roman"/>
          <w:sz w:val="24"/>
          <w:szCs w:val="24"/>
        </w:rPr>
        <w:t xml:space="preserve">: </w:t>
      </w:r>
    </w:p>
    <w:p w14:paraId="657684A4" w14:textId="4E32A5AF" w:rsidR="00352D58" w:rsidRPr="00352D58" w:rsidRDefault="00EA47B1" w:rsidP="00352D58">
      <w:pPr>
        <w:spacing w:after="120"/>
        <w:ind w:firstLine="567"/>
        <w:jc w:val="both"/>
        <w:rPr>
          <w:rFonts w:ascii="ITC Berkeley Oldstyle Book" w:hAnsi="ITC Berkeley Oldstyle Book" w:cs="Times New Roman"/>
          <w:sz w:val="24"/>
          <w:szCs w:val="24"/>
        </w:rPr>
      </w:pPr>
      <w:r w:rsidRPr="00EA47B1">
        <w:rPr>
          <w:rFonts w:ascii="ITC Berkeley Oldstyle Book" w:hAnsi="ITC Berkeley Oldstyle Book" w:cs="Times New Roman"/>
          <w:sz w:val="24"/>
          <w:szCs w:val="24"/>
        </w:rPr>
        <w:t xml:space="preserve">Art. 1º </w:t>
      </w:r>
      <w:r w:rsidR="00723626" w:rsidRPr="00723626">
        <w:rPr>
          <w:rFonts w:ascii="ITC Berkeley Oldstyle Book" w:hAnsi="ITC Berkeley Oldstyle Book" w:cs="Times New Roman"/>
          <w:sz w:val="24"/>
          <w:szCs w:val="24"/>
        </w:rPr>
        <w:t xml:space="preserve">Ficam as agências bancárias situadas no Município de </w:t>
      </w:r>
      <w:r w:rsidR="00723626" w:rsidRPr="00352D58">
        <w:rPr>
          <w:rFonts w:ascii="ITC Berkeley Oldstyle Book" w:hAnsi="ITC Berkeley Oldstyle Book" w:cs="Times New Roman"/>
          <w:sz w:val="24"/>
          <w:szCs w:val="24"/>
        </w:rPr>
        <w:t>Augustinópolis</w:t>
      </w:r>
      <w:r w:rsidR="00723626" w:rsidRPr="00723626">
        <w:rPr>
          <w:rFonts w:ascii="ITC Berkeley Oldstyle Book" w:hAnsi="ITC Berkeley Oldstyle Book" w:cs="Times New Roman"/>
          <w:sz w:val="24"/>
          <w:szCs w:val="24"/>
        </w:rPr>
        <w:t xml:space="preserve"> </w:t>
      </w:r>
      <w:r w:rsidR="00723626" w:rsidRPr="00723626">
        <w:rPr>
          <w:rFonts w:ascii="ITC Berkeley Oldstyle Book" w:hAnsi="ITC Berkeley Oldstyle Book" w:cs="Times New Roman"/>
          <w:sz w:val="24"/>
          <w:szCs w:val="24"/>
        </w:rPr>
        <w:t xml:space="preserve">obrigadas a disponibilizar, </w:t>
      </w:r>
      <w:r w:rsidR="00723626" w:rsidRPr="00BC3EA0">
        <w:rPr>
          <w:rFonts w:ascii="ITC Berkeley Oldstyle Book" w:hAnsi="ITC Berkeley Oldstyle Book" w:cs="Times New Roman"/>
          <w:sz w:val="24"/>
          <w:szCs w:val="24"/>
        </w:rPr>
        <w:t>antes da porta giratória de segurança</w:t>
      </w:r>
      <w:r w:rsidR="00723626" w:rsidRPr="00723626">
        <w:rPr>
          <w:rFonts w:ascii="ITC Berkeley Oldstyle Book" w:hAnsi="ITC Berkeley Oldstyle Book" w:cs="Times New Roman"/>
          <w:sz w:val="24"/>
          <w:szCs w:val="24"/>
        </w:rPr>
        <w:t xml:space="preserve">, equipamentos de </w:t>
      </w:r>
      <w:r w:rsidR="00723626" w:rsidRPr="00BC3EA0">
        <w:rPr>
          <w:rFonts w:ascii="ITC Berkeley Oldstyle Book" w:hAnsi="ITC Berkeley Oldstyle Book" w:cs="Times New Roman"/>
          <w:sz w:val="24"/>
          <w:szCs w:val="24"/>
        </w:rPr>
        <w:t>guarda-volumes</w:t>
      </w:r>
      <w:r w:rsidR="00723626" w:rsidRPr="00723626">
        <w:rPr>
          <w:rFonts w:ascii="ITC Berkeley Oldstyle Book" w:hAnsi="ITC Berkeley Oldstyle Book" w:cs="Times New Roman"/>
          <w:sz w:val="24"/>
          <w:szCs w:val="24"/>
        </w:rPr>
        <w:t xml:space="preserve"> para uso gratuito dos consumidores e usuários</w:t>
      </w:r>
      <w:r w:rsidR="00352D58" w:rsidRPr="00352D58">
        <w:rPr>
          <w:rFonts w:ascii="ITC Berkeley Oldstyle Book" w:hAnsi="ITC Berkeley Oldstyle Book" w:cs="Times New Roman"/>
          <w:sz w:val="24"/>
          <w:szCs w:val="24"/>
        </w:rPr>
        <w:t>.</w:t>
      </w:r>
    </w:p>
    <w:p w14:paraId="5B8ED5A8" w14:textId="4711C267" w:rsidR="00723626" w:rsidRDefault="00352D58" w:rsidP="00352D58">
      <w:pPr>
        <w:spacing w:after="120"/>
        <w:ind w:firstLine="567"/>
        <w:jc w:val="both"/>
        <w:rPr>
          <w:rFonts w:ascii="ITC Berkeley Oldstyle Book" w:hAnsi="ITC Berkeley Oldstyle Book" w:cs="Times New Roman"/>
          <w:sz w:val="24"/>
          <w:szCs w:val="24"/>
        </w:rPr>
      </w:pPr>
      <w:r w:rsidRPr="00352D58">
        <w:rPr>
          <w:rFonts w:ascii="ITC Berkeley Oldstyle Book" w:hAnsi="ITC Berkeley Oldstyle Book" w:cs="Times New Roman"/>
          <w:sz w:val="24"/>
          <w:szCs w:val="24"/>
        </w:rPr>
        <w:t xml:space="preserve">Art. 2º </w:t>
      </w:r>
      <w:r w:rsidR="00723626" w:rsidRPr="00723626">
        <w:rPr>
          <w:rFonts w:ascii="ITC Berkeley Oldstyle Book" w:hAnsi="ITC Berkeley Oldstyle Book" w:cs="Times New Roman"/>
          <w:sz w:val="24"/>
          <w:szCs w:val="24"/>
        </w:rPr>
        <w:t>Os guarda-volumes deverão:</w:t>
      </w:r>
    </w:p>
    <w:p w14:paraId="3FD0029B" w14:textId="77777777" w:rsidR="00723626" w:rsidRDefault="00723626" w:rsidP="00352D58">
      <w:pPr>
        <w:spacing w:after="120"/>
        <w:ind w:firstLine="567"/>
        <w:jc w:val="both"/>
        <w:rPr>
          <w:rFonts w:ascii="ITC Berkeley Oldstyle Book" w:hAnsi="ITC Berkeley Oldstyle Book" w:cs="Times New Roman"/>
          <w:sz w:val="24"/>
          <w:szCs w:val="24"/>
        </w:rPr>
      </w:pPr>
      <w:r w:rsidRPr="00723626">
        <w:rPr>
          <w:rFonts w:ascii="ITC Berkeley Oldstyle Book" w:hAnsi="ITC Berkeley Oldstyle Book" w:cs="Times New Roman"/>
          <w:sz w:val="24"/>
          <w:szCs w:val="24"/>
        </w:rPr>
        <w:t xml:space="preserve">I – </w:t>
      </w:r>
      <w:proofErr w:type="gramStart"/>
      <w:r w:rsidRPr="00723626">
        <w:rPr>
          <w:rFonts w:ascii="ITC Berkeley Oldstyle Book" w:hAnsi="ITC Berkeley Oldstyle Book" w:cs="Times New Roman"/>
          <w:sz w:val="24"/>
          <w:szCs w:val="24"/>
        </w:rPr>
        <w:t>estar</w:t>
      </w:r>
      <w:proofErr w:type="gramEnd"/>
      <w:r w:rsidRPr="00723626">
        <w:rPr>
          <w:rFonts w:ascii="ITC Berkeley Oldstyle Book" w:hAnsi="ITC Berkeley Oldstyle Book" w:cs="Times New Roman"/>
          <w:sz w:val="24"/>
          <w:szCs w:val="24"/>
        </w:rPr>
        <w:t xml:space="preserve"> instalados em área </w:t>
      </w:r>
      <w:r w:rsidRPr="00BC3EA0">
        <w:rPr>
          <w:rFonts w:ascii="ITC Berkeley Oldstyle Book" w:hAnsi="ITC Berkeley Oldstyle Book" w:cs="Times New Roman"/>
          <w:sz w:val="24"/>
          <w:szCs w:val="24"/>
        </w:rPr>
        <w:t>acessível antes do</w:t>
      </w:r>
      <w:r w:rsidRPr="00723626">
        <w:rPr>
          <w:rFonts w:ascii="ITC Berkeley Oldstyle Book" w:hAnsi="ITC Berkeley Oldstyle Book" w:cs="Times New Roman"/>
          <w:sz w:val="24"/>
          <w:szCs w:val="24"/>
        </w:rPr>
        <w:t xml:space="preserve"> controle de acesso por porta giratória;</w:t>
      </w:r>
    </w:p>
    <w:p w14:paraId="39C3B0DF" w14:textId="77777777" w:rsidR="00723626" w:rsidRDefault="00723626" w:rsidP="00352D58">
      <w:pPr>
        <w:spacing w:after="120"/>
        <w:ind w:firstLine="567"/>
        <w:jc w:val="both"/>
        <w:rPr>
          <w:rFonts w:ascii="ITC Berkeley Oldstyle Book" w:hAnsi="ITC Berkeley Oldstyle Book" w:cs="Times New Roman"/>
          <w:sz w:val="24"/>
          <w:szCs w:val="24"/>
        </w:rPr>
      </w:pPr>
      <w:r w:rsidRPr="00723626">
        <w:rPr>
          <w:rFonts w:ascii="ITC Berkeley Oldstyle Book" w:hAnsi="ITC Berkeley Oldstyle Book" w:cs="Times New Roman"/>
          <w:sz w:val="24"/>
          <w:szCs w:val="24"/>
        </w:rPr>
        <w:t xml:space="preserve">II – </w:t>
      </w:r>
      <w:proofErr w:type="gramStart"/>
      <w:r w:rsidRPr="00723626">
        <w:rPr>
          <w:rFonts w:ascii="ITC Berkeley Oldstyle Book" w:hAnsi="ITC Berkeley Oldstyle Book" w:cs="Times New Roman"/>
          <w:sz w:val="24"/>
          <w:szCs w:val="24"/>
        </w:rPr>
        <w:t>possuir</w:t>
      </w:r>
      <w:proofErr w:type="gramEnd"/>
      <w:r w:rsidRPr="00723626">
        <w:rPr>
          <w:rFonts w:ascii="ITC Berkeley Oldstyle Book" w:hAnsi="ITC Berkeley Oldstyle Book" w:cs="Times New Roman"/>
          <w:sz w:val="24"/>
          <w:szCs w:val="24"/>
        </w:rPr>
        <w:t xml:space="preserve"> compartimentos individuais com </w:t>
      </w:r>
      <w:r w:rsidRPr="00BC3EA0">
        <w:rPr>
          <w:rFonts w:ascii="ITC Berkeley Oldstyle Book" w:hAnsi="ITC Berkeley Oldstyle Book" w:cs="Times New Roman"/>
          <w:sz w:val="24"/>
          <w:szCs w:val="24"/>
        </w:rPr>
        <w:t>fechadura</w:t>
      </w:r>
      <w:r w:rsidRPr="00723626">
        <w:rPr>
          <w:rFonts w:ascii="ITC Berkeley Oldstyle Book" w:hAnsi="ITC Berkeley Oldstyle Book" w:cs="Times New Roman"/>
          <w:sz w:val="24"/>
          <w:szCs w:val="24"/>
        </w:rPr>
        <w:t>, garantindo segurança e privacidade;</w:t>
      </w:r>
    </w:p>
    <w:p w14:paraId="7D8CA5A7" w14:textId="77777777" w:rsidR="00723626" w:rsidRDefault="00723626" w:rsidP="00352D58">
      <w:pPr>
        <w:spacing w:after="120"/>
        <w:ind w:firstLine="567"/>
        <w:jc w:val="both"/>
        <w:rPr>
          <w:rFonts w:ascii="ITC Berkeley Oldstyle Book" w:hAnsi="ITC Berkeley Oldstyle Book" w:cs="Times New Roman"/>
          <w:sz w:val="24"/>
          <w:szCs w:val="24"/>
        </w:rPr>
      </w:pPr>
      <w:r w:rsidRPr="00723626">
        <w:rPr>
          <w:rFonts w:ascii="ITC Berkeley Oldstyle Book" w:hAnsi="ITC Berkeley Oldstyle Book" w:cs="Times New Roman"/>
          <w:sz w:val="24"/>
          <w:szCs w:val="24"/>
        </w:rPr>
        <w:t>III – estar disponíveis durante todo o horário de funcionamento da agência;</w:t>
      </w:r>
    </w:p>
    <w:p w14:paraId="2BFA90D2" w14:textId="7A3C7CCC" w:rsidR="00352D58" w:rsidRPr="00352D58" w:rsidRDefault="00723626" w:rsidP="00352D58">
      <w:pPr>
        <w:spacing w:after="120"/>
        <w:ind w:firstLine="567"/>
        <w:jc w:val="both"/>
        <w:rPr>
          <w:rFonts w:ascii="ITC Berkeley Oldstyle Book" w:hAnsi="ITC Berkeley Oldstyle Book" w:cs="Times New Roman"/>
          <w:sz w:val="24"/>
          <w:szCs w:val="24"/>
        </w:rPr>
      </w:pPr>
      <w:r w:rsidRPr="00723626">
        <w:rPr>
          <w:rFonts w:ascii="ITC Berkeley Oldstyle Book" w:hAnsi="ITC Berkeley Oldstyle Book" w:cs="Times New Roman"/>
          <w:sz w:val="24"/>
          <w:szCs w:val="24"/>
        </w:rPr>
        <w:t xml:space="preserve">IV – </w:t>
      </w:r>
      <w:proofErr w:type="gramStart"/>
      <w:r w:rsidRPr="00723626">
        <w:rPr>
          <w:rFonts w:ascii="ITC Berkeley Oldstyle Book" w:hAnsi="ITC Berkeley Oldstyle Book" w:cs="Times New Roman"/>
          <w:sz w:val="24"/>
          <w:szCs w:val="24"/>
        </w:rPr>
        <w:t>permitir</w:t>
      </w:r>
      <w:proofErr w:type="gramEnd"/>
      <w:r w:rsidRPr="00723626">
        <w:rPr>
          <w:rFonts w:ascii="ITC Berkeley Oldstyle Book" w:hAnsi="ITC Berkeley Oldstyle Book" w:cs="Times New Roman"/>
          <w:sz w:val="24"/>
          <w:szCs w:val="24"/>
        </w:rPr>
        <w:t xml:space="preserve"> a guarda de pertences pessoais que, por volume ou material, impeçam a entrada do usuário pela porta giratória de segurança</w:t>
      </w:r>
      <w:r w:rsidR="00352D58" w:rsidRPr="00352D58">
        <w:rPr>
          <w:rFonts w:ascii="ITC Berkeley Oldstyle Book" w:hAnsi="ITC Berkeley Oldstyle Book" w:cs="Times New Roman"/>
          <w:sz w:val="24"/>
          <w:szCs w:val="24"/>
        </w:rPr>
        <w:t>.</w:t>
      </w:r>
    </w:p>
    <w:p w14:paraId="72F37AD8" w14:textId="6D18A6AE" w:rsidR="00723626" w:rsidRPr="00723626" w:rsidRDefault="00EA47B1" w:rsidP="00723626">
      <w:pPr>
        <w:spacing w:after="120"/>
        <w:ind w:firstLine="567"/>
        <w:jc w:val="both"/>
        <w:rPr>
          <w:rFonts w:ascii="ITC Berkeley Oldstyle Book" w:hAnsi="ITC Berkeley Oldstyle Book" w:cs="Times New Roman"/>
          <w:sz w:val="24"/>
          <w:szCs w:val="24"/>
        </w:rPr>
      </w:pPr>
      <w:r w:rsidRPr="00EA47B1">
        <w:rPr>
          <w:rFonts w:ascii="ITC Berkeley Oldstyle Book" w:hAnsi="ITC Berkeley Oldstyle Book" w:cs="Times New Roman"/>
          <w:sz w:val="24"/>
          <w:szCs w:val="24"/>
        </w:rPr>
        <w:t xml:space="preserve">Art. </w:t>
      </w:r>
      <w:r w:rsidR="00352D58">
        <w:rPr>
          <w:rFonts w:ascii="ITC Berkeley Oldstyle Book" w:hAnsi="ITC Berkeley Oldstyle Book" w:cs="Times New Roman"/>
          <w:sz w:val="24"/>
          <w:szCs w:val="24"/>
        </w:rPr>
        <w:t>3</w:t>
      </w:r>
      <w:r w:rsidRPr="00EA47B1">
        <w:rPr>
          <w:rFonts w:ascii="ITC Berkeley Oldstyle Book" w:hAnsi="ITC Berkeley Oldstyle Book" w:cs="Times New Roman"/>
          <w:sz w:val="24"/>
          <w:szCs w:val="24"/>
        </w:rPr>
        <w:t xml:space="preserve">º </w:t>
      </w:r>
      <w:r w:rsidR="00723626" w:rsidRPr="00723626">
        <w:rPr>
          <w:rFonts w:ascii="ITC Berkeley Oldstyle Book" w:hAnsi="ITC Berkeley Oldstyle Book" w:cs="Times New Roman"/>
          <w:sz w:val="24"/>
          <w:szCs w:val="24"/>
        </w:rPr>
        <w:t>As agências bancárias deverão afixar placa informativa em local visível, contendo:</w:t>
      </w:r>
    </w:p>
    <w:p w14:paraId="01BC9361" w14:textId="77777777" w:rsidR="00723626" w:rsidRPr="00723626" w:rsidRDefault="00723626" w:rsidP="00723626">
      <w:pPr>
        <w:spacing w:after="120"/>
        <w:ind w:firstLine="567"/>
        <w:jc w:val="both"/>
        <w:rPr>
          <w:rFonts w:ascii="ITC Berkeley Oldstyle Book" w:hAnsi="ITC Berkeley Oldstyle Book" w:cs="Times New Roman"/>
          <w:sz w:val="24"/>
          <w:szCs w:val="24"/>
        </w:rPr>
      </w:pPr>
      <w:r w:rsidRPr="00723626">
        <w:rPr>
          <w:rFonts w:ascii="ITC Berkeley Oldstyle Book" w:hAnsi="ITC Berkeley Oldstyle Book" w:cs="Times New Roman"/>
          <w:sz w:val="24"/>
          <w:szCs w:val="24"/>
        </w:rPr>
        <w:t xml:space="preserve">I – </w:t>
      </w:r>
      <w:proofErr w:type="gramStart"/>
      <w:r w:rsidRPr="00723626">
        <w:rPr>
          <w:rFonts w:ascii="ITC Berkeley Oldstyle Book" w:hAnsi="ITC Berkeley Oldstyle Book" w:cs="Times New Roman"/>
          <w:sz w:val="24"/>
          <w:szCs w:val="24"/>
        </w:rPr>
        <w:t>orientação</w:t>
      </w:r>
      <w:proofErr w:type="gramEnd"/>
      <w:r w:rsidRPr="00723626">
        <w:rPr>
          <w:rFonts w:ascii="ITC Berkeley Oldstyle Book" w:hAnsi="ITC Berkeley Oldstyle Book" w:cs="Times New Roman"/>
          <w:sz w:val="24"/>
          <w:szCs w:val="24"/>
        </w:rPr>
        <w:t xml:space="preserve"> ao usuário sobre a existência do guarda-volume;</w:t>
      </w:r>
    </w:p>
    <w:p w14:paraId="62B38742" w14:textId="403284AD" w:rsidR="00EA47B1" w:rsidRPr="00EA47B1" w:rsidRDefault="00723626" w:rsidP="00723626">
      <w:pPr>
        <w:spacing w:after="120"/>
        <w:ind w:firstLine="567"/>
        <w:jc w:val="both"/>
        <w:rPr>
          <w:rFonts w:ascii="ITC Berkeley Oldstyle Book" w:hAnsi="ITC Berkeley Oldstyle Book" w:cs="Times New Roman"/>
          <w:sz w:val="24"/>
          <w:szCs w:val="24"/>
        </w:rPr>
      </w:pPr>
      <w:r w:rsidRPr="00723626">
        <w:rPr>
          <w:rFonts w:ascii="ITC Berkeley Oldstyle Book" w:hAnsi="ITC Berkeley Oldstyle Book" w:cs="Times New Roman"/>
          <w:sz w:val="24"/>
          <w:szCs w:val="24"/>
        </w:rPr>
        <w:t xml:space="preserve">II – </w:t>
      </w:r>
      <w:proofErr w:type="gramStart"/>
      <w:r w:rsidRPr="00723626">
        <w:rPr>
          <w:rFonts w:ascii="ITC Berkeley Oldstyle Book" w:hAnsi="ITC Berkeley Oldstyle Book" w:cs="Times New Roman"/>
          <w:sz w:val="24"/>
          <w:szCs w:val="24"/>
        </w:rPr>
        <w:t>aviso</w:t>
      </w:r>
      <w:proofErr w:type="gramEnd"/>
      <w:r w:rsidRPr="00723626">
        <w:rPr>
          <w:rFonts w:ascii="ITC Berkeley Oldstyle Book" w:hAnsi="ITC Berkeley Oldstyle Book" w:cs="Times New Roman"/>
          <w:sz w:val="24"/>
          <w:szCs w:val="24"/>
        </w:rPr>
        <w:t xml:space="preserve"> de que o serviço é gratuito.</w:t>
      </w:r>
    </w:p>
    <w:p w14:paraId="3D04B979" w14:textId="7ADBB0C9" w:rsidR="00EA47B1" w:rsidRPr="00EA47B1" w:rsidRDefault="00EA47B1" w:rsidP="00EA47B1">
      <w:pPr>
        <w:spacing w:after="120"/>
        <w:ind w:firstLine="567"/>
        <w:jc w:val="both"/>
        <w:rPr>
          <w:rFonts w:ascii="ITC Berkeley Oldstyle Book" w:hAnsi="ITC Berkeley Oldstyle Book" w:cs="Times New Roman"/>
          <w:sz w:val="24"/>
          <w:szCs w:val="24"/>
        </w:rPr>
      </w:pPr>
      <w:r w:rsidRPr="00EA47B1">
        <w:rPr>
          <w:rFonts w:ascii="ITC Berkeley Oldstyle Book" w:hAnsi="ITC Berkeley Oldstyle Book" w:cs="Times New Roman"/>
          <w:sz w:val="24"/>
          <w:szCs w:val="24"/>
        </w:rPr>
        <w:t xml:space="preserve">Art. 4º </w:t>
      </w:r>
      <w:r w:rsidR="00BC3EA0" w:rsidRPr="00BC3EA0">
        <w:rPr>
          <w:rFonts w:ascii="ITC Berkeley Oldstyle Book" w:hAnsi="ITC Berkeley Oldstyle Book" w:cs="Times New Roman"/>
          <w:sz w:val="24"/>
          <w:szCs w:val="24"/>
        </w:rPr>
        <w:t>A presente Lei tem por finalidade proteger o consumidor contra situações de constrangimento, especialmente quando houver necessidade de retirada de objetos pessoais — como bolsas femininas e pertences diversos — para acesso à área interna de atendimento</w:t>
      </w:r>
      <w:r w:rsidRPr="00EA47B1">
        <w:rPr>
          <w:rFonts w:ascii="ITC Berkeley Oldstyle Book" w:hAnsi="ITC Berkeley Oldstyle Book" w:cs="Times New Roman"/>
          <w:sz w:val="24"/>
          <w:szCs w:val="24"/>
        </w:rPr>
        <w:t>.</w:t>
      </w:r>
    </w:p>
    <w:p w14:paraId="6CCB072E" w14:textId="4861DEA0" w:rsidR="00BC12BF" w:rsidRDefault="00EA47B1" w:rsidP="00EA47B1">
      <w:pPr>
        <w:spacing w:after="120"/>
        <w:ind w:firstLine="567"/>
        <w:jc w:val="both"/>
        <w:rPr>
          <w:rFonts w:ascii="ITC Berkeley Oldstyle Book" w:hAnsi="ITC Berkeley Oldstyle Book" w:cs="Times New Roman"/>
          <w:sz w:val="24"/>
          <w:szCs w:val="24"/>
        </w:rPr>
      </w:pPr>
      <w:r w:rsidRPr="00EA47B1">
        <w:rPr>
          <w:rFonts w:ascii="ITC Berkeley Oldstyle Book" w:hAnsi="ITC Berkeley Oldstyle Book" w:cs="Times New Roman"/>
          <w:sz w:val="24"/>
          <w:szCs w:val="24"/>
        </w:rPr>
        <w:t xml:space="preserve">Art. 5º </w:t>
      </w:r>
      <w:r w:rsidR="00BC3EA0" w:rsidRPr="00BC3EA0">
        <w:rPr>
          <w:rFonts w:ascii="ITC Berkeley Oldstyle Book" w:hAnsi="ITC Berkeley Oldstyle Book" w:cs="Times New Roman"/>
          <w:sz w:val="24"/>
          <w:szCs w:val="24"/>
        </w:rPr>
        <w:t>O descumprimento desta Lei sujeitará a agência infratora às penalidades previstas na legislação municipal de fiscalização e posturas, sem prejuízo das demais sanções aplicáveis pelos órgãos de defesa do consumidor</w:t>
      </w:r>
      <w:r w:rsidRPr="00EA47B1">
        <w:rPr>
          <w:rFonts w:ascii="ITC Berkeley Oldstyle Book" w:hAnsi="ITC Berkeley Oldstyle Book" w:cs="Times New Roman"/>
          <w:sz w:val="24"/>
          <w:szCs w:val="24"/>
        </w:rPr>
        <w:t>.</w:t>
      </w:r>
    </w:p>
    <w:p w14:paraId="252F22E9" w14:textId="760FD5F4" w:rsidR="00BC3EA0" w:rsidRDefault="00BC3EA0" w:rsidP="00EA47B1">
      <w:pPr>
        <w:spacing w:after="120"/>
        <w:ind w:firstLine="567"/>
        <w:jc w:val="both"/>
        <w:rPr>
          <w:rFonts w:ascii="ITC Berkeley Oldstyle Book" w:hAnsi="ITC Berkeley Oldstyle Book" w:cs="Times New Roman"/>
          <w:sz w:val="24"/>
          <w:szCs w:val="24"/>
          <w:shd w:val="clear" w:color="auto" w:fill="FFFFFF"/>
        </w:rPr>
      </w:pPr>
      <w:r w:rsidRPr="00BC3EA0">
        <w:rPr>
          <w:rFonts w:ascii="ITC Berkeley Oldstyle Book" w:hAnsi="ITC Berkeley Oldstyle Book" w:cs="Times New Roman"/>
          <w:sz w:val="24"/>
          <w:szCs w:val="24"/>
          <w:shd w:val="clear" w:color="auto" w:fill="FFFFFF"/>
        </w:rPr>
        <w:t>Art. 6º As agências bancárias terão o prazo de 90 (noventa) dias para adequação às disposições desta Lei, contado da data de sua publicação.</w:t>
      </w:r>
    </w:p>
    <w:p w14:paraId="269F4D63" w14:textId="4AEC6D39" w:rsidR="00BC3EA0" w:rsidRDefault="00BC3EA0" w:rsidP="00EA47B1">
      <w:pPr>
        <w:spacing w:after="120"/>
        <w:ind w:firstLine="567"/>
        <w:jc w:val="both"/>
        <w:rPr>
          <w:rFonts w:ascii="ITC Berkeley Oldstyle Book" w:hAnsi="ITC Berkeley Oldstyle Book" w:cs="Times New Roman"/>
          <w:sz w:val="24"/>
          <w:szCs w:val="24"/>
          <w:shd w:val="clear" w:color="auto" w:fill="FFFFFF"/>
        </w:rPr>
      </w:pPr>
      <w:r w:rsidRPr="00BC3EA0">
        <w:rPr>
          <w:rFonts w:ascii="ITC Berkeley Oldstyle Book" w:hAnsi="ITC Berkeley Oldstyle Book" w:cs="Times New Roman"/>
          <w:sz w:val="24"/>
          <w:szCs w:val="24"/>
          <w:shd w:val="clear" w:color="auto" w:fill="FFFFFF"/>
        </w:rPr>
        <w:t>Art. 7º Esta Lei entra em vigor na data de sua publicação.</w:t>
      </w:r>
    </w:p>
    <w:p w14:paraId="5194B8A2" w14:textId="77777777" w:rsidR="00BC3EA0" w:rsidRDefault="00BC3EA0" w:rsidP="009F2197">
      <w:pPr>
        <w:spacing w:after="120"/>
        <w:ind w:firstLine="567"/>
        <w:jc w:val="right"/>
        <w:rPr>
          <w:rFonts w:ascii="ITC Berkeley Oldstyle Book" w:hAnsi="ITC Berkeley Oldstyle Book" w:cs="Times New Roman"/>
          <w:sz w:val="24"/>
          <w:szCs w:val="24"/>
        </w:rPr>
      </w:pPr>
    </w:p>
    <w:p w14:paraId="73C45BE3" w14:textId="18215852" w:rsidR="006E504F" w:rsidRDefault="008A0AFA" w:rsidP="009F2197">
      <w:pPr>
        <w:spacing w:after="120"/>
        <w:ind w:firstLine="567"/>
        <w:jc w:val="right"/>
        <w:rPr>
          <w:rFonts w:ascii="ITC Berkeley Oldstyle Book" w:hAnsi="ITC Berkeley Oldstyle Book" w:cs="Times New Roman"/>
          <w:sz w:val="24"/>
          <w:szCs w:val="24"/>
        </w:rPr>
      </w:pPr>
      <w:r w:rsidRPr="008034C9">
        <w:rPr>
          <w:rFonts w:ascii="ITC Berkeley Oldstyle Book" w:hAnsi="ITC Berkeley Oldstyle Book" w:cs="Times New Roman"/>
          <w:sz w:val="24"/>
          <w:szCs w:val="24"/>
        </w:rPr>
        <w:t>Câmara Municipal de Augustinópolis/TO</w:t>
      </w:r>
      <w:r w:rsidR="00F12409" w:rsidRPr="008034C9">
        <w:rPr>
          <w:rFonts w:ascii="ITC Berkeley Oldstyle Book" w:hAnsi="ITC Berkeley Oldstyle Book" w:cs="Times New Roman"/>
          <w:sz w:val="24"/>
          <w:szCs w:val="24"/>
        </w:rPr>
        <w:t xml:space="preserve">, </w:t>
      </w:r>
      <w:r w:rsidR="00BC3EA0">
        <w:rPr>
          <w:rFonts w:ascii="ITC Berkeley Oldstyle Book" w:hAnsi="ITC Berkeley Oldstyle Book" w:cs="Times New Roman"/>
          <w:sz w:val="24"/>
          <w:szCs w:val="24"/>
        </w:rPr>
        <w:t>0</w:t>
      </w:r>
      <w:r w:rsidR="00352D58">
        <w:rPr>
          <w:rFonts w:ascii="ITC Berkeley Oldstyle Book" w:hAnsi="ITC Berkeley Oldstyle Book" w:cs="Times New Roman"/>
          <w:sz w:val="24"/>
          <w:szCs w:val="24"/>
        </w:rPr>
        <w:t>3</w:t>
      </w:r>
      <w:r w:rsidR="00F12409" w:rsidRPr="008034C9">
        <w:rPr>
          <w:rFonts w:ascii="ITC Berkeley Oldstyle Book" w:hAnsi="ITC Berkeley Oldstyle Book" w:cs="Times New Roman"/>
          <w:sz w:val="24"/>
          <w:szCs w:val="24"/>
        </w:rPr>
        <w:t xml:space="preserve"> de </w:t>
      </w:r>
      <w:r w:rsidR="00BC3EA0">
        <w:rPr>
          <w:rFonts w:ascii="ITC Berkeley Oldstyle Book" w:hAnsi="ITC Berkeley Oldstyle Book" w:cs="Times New Roman"/>
          <w:sz w:val="24"/>
          <w:szCs w:val="24"/>
        </w:rPr>
        <w:t xml:space="preserve">dezembro </w:t>
      </w:r>
      <w:r w:rsidR="00F12409" w:rsidRPr="008034C9">
        <w:rPr>
          <w:rFonts w:ascii="ITC Berkeley Oldstyle Book" w:hAnsi="ITC Berkeley Oldstyle Book" w:cs="Times New Roman"/>
          <w:sz w:val="24"/>
          <w:szCs w:val="24"/>
        </w:rPr>
        <w:t>de 20</w:t>
      </w:r>
      <w:r w:rsidR="006E504F" w:rsidRPr="008034C9">
        <w:rPr>
          <w:rFonts w:ascii="ITC Berkeley Oldstyle Book" w:hAnsi="ITC Berkeley Oldstyle Book" w:cs="Times New Roman"/>
          <w:sz w:val="24"/>
          <w:szCs w:val="24"/>
        </w:rPr>
        <w:t>25</w:t>
      </w:r>
      <w:r w:rsidR="00F12409" w:rsidRPr="008034C9">
        <w:rPr>
          <w:rFonts w:ascii="ITC Berkeley Oldstyle Book" w:hAnsi="ITC Berkeley Oldstyle Book" w:cs="Times New Roman"/>
          <w:sz w:val="24"/>
          <w:szCs w:val="24"/>
        </w:rPr>
        <w:t xml:space="preserve">. </w:t>
      </w:r>
    </w:p>
    <w:p w14:paraId="34962F1D" w14:textId="77777777" w:rsidR="003B3264" w:rsidRDefault="003B3264" w:rsidP="009F2197">
      <w:pPr>
        <w:spacing w:after="120"/>
        <w:ind w:firstLine="567"/>
        <w:jc w:val="right"/>
        <w:rPr>
          <w:rFonts w:ascii="ITC Berkeley Oldstyle Book" w:hAnsi="ITC Berkeley Oldstyle Book" w:cs="Times New Roman"/>
          <w:sz w:val="24"/>
          <w:szCs w:val="24"/>
        </w:rPr>
      </w:pPr>
    </w:p>
    <w:p w14:paraId="49185F4E" w14:textId="77777777" w:rsidR="003B3264" w:rsidRDefault="003B3264" w:rsidP="003B3264">
      <w:pPr>
        <w:spacing w:after="0" w:line="360" w:lineRule="auto"/>
        <w:rPr>
          <w:rFonts w:ascii="ITC Berkeley Oldstyle Book" w:hAnsi="ITC Berkeley Oldstyle Book" w:cs="Times New Roman"/>
          <w:b/>
          <w:bCs/>
          <w:sz w:val="24"/>
          <w:szCs w:val="24"/>
          <w:shd w:val="clear" w:color="auto" w:fill="FFFFFF"/>
        </w:rPr>
      </w:pPr>
      <w:bookmarkStart w:id="1" w:name="_Hlk210153850"/>
    </w:p>
    <w:p w14:paraId="3BA8B538" w14:textId="76CCC655" w:rsidR="008D6336" w:rsidRPr="00EA47B1" w:rsidRDefault="00352D58" w:rsidP="00BC3EA0">
      <w:pPr>
        <w:spacing w:after="0" w:line="240" w:lineRule="auto"/>
        <w:jc w:val="center"/>
        <w:rPr>
          <w:rFonts w:ascii="ITC Berkeley Oldstyle Book" w:hAnsi="ITC Berkeley Oldstyle Book" w:cs="Times New Roman"/>
          <w:b/>
          <w:bCs/>
          <w:sz w:val="28"/>
          <w:szCs w:val="32"/>
        </w:rPr>
      </w:pPr>
      <w:r>
        <w:rPr>
          <w:rFonts w:ascii="ITC Berkeley Oldstyle Book" w:hAnsi="ITC Berkeley Oldstyle Book" w:cs="Times New Roman"/>
          <w:b/>
          <w:bCs/>
        </w:rPr>
        <w:t>ANTONIO SILVA FEITOSA</w:t>
      </w:r>
    </w:p>
    <w:bookmarkEnd w:id="1"/>
    <w:p w14:paraId="0EA4BA52" w14:textId="77777777" w:rsidR="00BC3EA0" w:rsidRDefault="00BC3EA0" w:rsidP="00BC3EA0">
      <w:pPr>
        <w:spacing w:after="0" w:line="240" w:lineRule="auto"/>
        <w:jc w:val="center"/>
        <w:rPr>
          <w:rFonts w:ascii="ITC Berkeley Oldstyle Book" w:hAnsi="ITC Berkeley Oldstyle Book" w:cs="Times New Roman"/>
          <w:sz w:val="24"/>
          <w:szCs w:val="24"/>
        </w:rPr>
      </w:pPr>
      <w:r w:rsidRPr="008034C9">
        <w:rPr>
          <w:rFonts w:ascii="ITC Berkeley Oldstyle Book" w:hAnsi="ITC Berkeley Oldstyle Book" w:cs="Times New Roman"/>
          <w:sz w:val="24"/>
          <w:szCs w:val="24"/>
        </w:rPr>
        <w:t>Vereador</w:t>
      </w:r>
    </w:p>
    <w:p w14:paraId="59D3282F" w14:textId="77777777" w:rsidR="00BF248D" w:rsidRDefault="00BF248D" w:rsidP="003B3264">
      <w:pPr>
        <w:spacing w:after="0" w:line="360" w:lineRule="auto"/>
        <w:ind w:left="284" w:firstLine="708"/>
        <w:rPr>
          <w:rFonts w:ascii="ITC Berkeley Oldstyle Book" w:hAnsi="ITC Berkeley Oldstyle Book" w:cs="Times New Roman"/>
          <w:sz w:val="24"/>
          <w:szCs w:val="24"/>
        </w:rPr>
      </w:pPr>
    </w:p>
    <w:p w14:paraId="4D7F5592" w14:textId="77777777" w:rsidR="003B3264" w:rsidRDefault="003B3264" w:rsidP="00325599">
      <w:pPr>
        <w:spacing w:after="0" w:line="288" w:lineRule="auto"/>
        <w:jc w:val="center"/>
        <w:rPr>
          <w:rFonts w:ascii="ITC Berkeley Oldstyle Book" w:hAnsi="ITC Berkeley Oldstyle Book" w:cs="Times New Roman"/>
          <w:b/>
          <w:bCs/>
          <w:sz w:val="24"/>
          <w:szCs w:val="24"/>
        </w:rPr>
      </w:pPr>
    </w:p>
    <w:p w14:paraId="4B435C29" w14:textId="77777777" w:rsidR="00BC3EA0" w:rsidRDefault="00BC3EA0" w:rsidP="00325599">
      <w:pPr>
        <w:spacing w:after="0" w:line="288" w:lineRule="auto"/>
        <w:jc w:val="center"/>
        <w:rPr>
          <w:rFonts w:ascii="ITC Berkeley Oldstyle Book" w:hAnsi="ITC Berkeley Oldstyle Book" w:cs="Times New Roman"/>
          <w:b/>
          <w:bCs/>
          <w:sz w:val="24"/>
          <w:szCs w:val="24"/>
        </w:rPr>
      </w:pPr>
      <w:r>
        <w:rPr>
          <w:rFonts w:ascii="ITC Berkeley Oldstyle Book" w:hAnsi="ITC Berkeley Oldstyle Book" w:cs="Times New Roman"/>
          <w:b/>
          <w:bCs/>
          <w:sz w:val="24"/>
          <w:szCs w:val="24"/>
        </w:rPr>
        <w:br w:type="page"/>
      </w:r>
    </w:p>
    <w:p w14:paraId="3A81153C" w14:textId="77777777" w:rsidR="00BC3EA0" w:rsidRDefault="00BC3EA0" w:rsidP="00325599">
      <w:pPr>
        <w:spacing w:after="0" w:line="288" w:lineRule="auto"/>
        <w:jc w:val="center"/>
        <w:rPr>
          <w:rFonts w:ascii="ITC Berkeley Oldstyle Book" w:hAnsi="ITC Berkeley Oldstyle Book" w:cs="Times New Roman"/>
          <w:b/>
          <w:bCs/>
          <w:sz w:val="24"/>
          <w:szCs w:val="24"/>
        </w:rPr>
      </w:pPr>
    </w:p>
    <w:p w14:paraId="35DA2821" w14:textId="723370F3" w:rsidR="006E504F" w:rsidRPr="000B3FCD" w:rsidRDefault="00F12409" w:rsidP="00325599">
      <w:pPr>
        <w:spacing w:after="0" w:line="288" w:lineRule="auto"/>
        <w:jc w:val="center"/>
        <w:rPr>
          <w:rFonts w:ascii="ITC Berkeley Oldstyle Book" w:hAnsi="ITC Berkeley Oldstyle Book" w:cs="Times New Roman"/>
          <w:b/>
          <w:bCs/>
          <w:sz w:val="24"/>
          <w:szCs w:val="24"/>
        </w:rPr>
      </w:pPr>
      <w:r w:rsidRPr="000B3FCD">
        <w:rPr>
          <w:rFonts w:ascii="ITC Berkeley Oldstyle Book" w:hAnsi="ITC Berkeley Oldstyle Book" w:cs="Times New Roman"/>
          <w:b/>
          <w:bCs/>
          <w:sz w:val="24"/>
          <w:szCs w:val="24"/>
        </w:rPr>
        <w:t>JUSTI</w:t>
      </w:r>
      <w:r w:rsidR="006E504F" w:rsidRPr="000B3FCD">
        <w:rPr>
          <w:rFonts w:ascii="ITC Berkeley Oldstyle Book" w:hAnsi="ITC Berkeley Oldstyle Book" w:cs="Times New Roman"/>
          <w:b/>
          <w:bCs/>
          <w:sz w:val="24"/>
          <w:szCs w:val="24"/>
        </w:rPr>
        <w:t>FICATIVA</w:t>
      </w:r>
    </w:p>
    <w:p w14:paraId="1FF5AD38" w14:textId="77777777" w:rsidR="003C2621" w:rsidRDefault="003C2621" w:rsidP="00325599">
      <w:pPr>
        <w:spacing w:after="0" w:line="288" w:lineRule="auto"/>
        <w:jc w:val="center"/>
        <w:rPr>
          <w:rFonts w:ascii="ITC Berkeley Oldstyle Book" w:hAnsi="ITC Berkeley Oldstyle Book" w:cs="Times New Roman"/>
          <w:sz w:val="24"/>
          <w:szCs w:val="24"/>
        </w:rPr>
      </w:pPr>
    </w:p>
    <w:p w14:paraId="6B379C26" w14:textId="77777777" w:rsidR="00BC3EA0" w:rsidRPr="00BC3EA0" w:rsidRDefault="00BC3EA0" w:rsidP="00BC3EA0">
      <w:pPr>
        <w:spacing w:line="288" w:lineRule="auto"/>
        <w:ind w:firstLine="851"/>
        <w:jc w:val="both"/>
        <w:rPr>
          <w:rFonts w:ascii="ITC Berkeley Oldstyle Book" w:hAnsi="ITC Berkeley Oldstyle Book" w:cs="Times New Roman"/>
        </w:rPr>
      </w:pPr>
      <w:r w:rsidRPr="00BC3EA0">
        <w:rPr>
          <w:rFonts w:ascii="ITC Berkeley Oldstyle Book" w:hAnsi="ITC Berkeley Oldstyle Book" w:cs="Times New Roman"/>
        </w:rPr>
        <w:t>O presente Projeto de Lei visa garantir melhores condições de atendimento aos consumidores que utilizam as agências bancárias da cidade. É frequente que usuários, especialmente mulheres com bolsas maiores ou pessoas portando itens pessoais volumosos, sejam impedidos de ultrapassar a porta giratória, situação que provoca constrangimento, atrasos e exposição de seus objetos particulares.</w:t>
      </w:r>
    </w:p>
    <w:p w14:paraId="57B4A8EC" w14:textId="77777777" w:rsidR="00BC3EA0" w:rsidRPr="00BC3EA0" w:rsidRDefault="00BC3EA0" w:rsidP="00BC3EA0">
      <w:pPr>
        <w:spacing w:line="288" w:lineRule="auto"/>
        <w:ind w:firstLine="851"/>
        <w:jc w:val="both"/>
        <w:rPr>
          <w:rFonts w:ascii="ITC Berkeley Oldstyle Book" w:hAnsi="ITC Berkeley Oldstyle Book" w:cs="Times New Roman"/>
        </w:rPr>
      </w:pPr>
      <w:r w:rsidRPr="00BC3EA0">
        <w:rPr>
          <w:rFonts w:ascii="ITC Berkeley Oldstyle Book" w:hAnsi="ITC Berkeley Oldstyle Book" w:cs="Times New Roman"/>
        </w:rPr>
        <w:t>O Município possui competência para legislar em matéria de interesse local e sobre proteção do consumidor (CF, art. 30, I e II). As medidas propostas não interferem na segurança interna das instituições financeiras, mas apenas disciplinam a organização do espaço de atendimento ao público, o que é compatível com o poder de polícia municipal e com a defesa do consumidor prevista no Código de Defesa do Consumidor.</w:t>
      </w:r>
    </w:p>
    <w:p w14:paraId="3CFDAA8B" w14:textId="77777777" w:rsidR="00BC3EA0" w:rsidRPr="00BC3EA0" w:rsidRDefault="00BC3EA0" w:rsidP="00BC3EA0">
      <w:pPr>
        <w:spacing w:line="288" w:lineRule="auto"/>
        <w:ind w:firstLine="851"/>
        <w:jc w:val="both"/>
        <w:rPr>
          <w:rFonts w:ascii="ITC Berkeley Oldstyle Book" w:hAnsi="ITC Berkeley Oldstyle Book" w:cs="Times New Roman"/>
        </w:rPr>
      </w:pPr>
      <w:r w:rsidRPr="00BC3EA0">
        <w:rPr>
          <w:rFonts w:ascii="ITC Berkeley Oldstyle Book" w:hAnsi="ITC Berkeley Oldstyle Book" w:cs="Times New Roman"/>
        </w:rPr>
        <w:t>A instalação de guarda-volumes antes da porta giratória é uma medida simples, eficaz e já adotada em diversos municípios, garantindo dignidade, segurança e privacidade aos usuários.</w:t>
      </w:r>
    </w:p>
    <w:p w14:paraId="0E45E61C" w14:textId="74F34F21" w:rsidR="003C2621" w:rsidRPr="003C2621" w:rsidRDefault="00BC3EA0" w:rsidP="00BC3EA0">
      <w:pPr>
        <w:spacing w:line="288" w:lineRule="auto"/>
        <w:ind w:firstLine="851"/>
        <w:jc w:val="both"/>
        <w:rPr>
          <w:rFonts w:ascii="ITC Berkeley Oldstyle Book" w:hAnsi="ITC Berkeley Oldstyle Book" w:cs="Times New Roman"/>
        </w:rPr>
      </w:pPr>
      <w:r w:rsidRPr="00BC3EA0">
        <w:rPr>
          <w:rFonts w:ascii="ITC Berkeley Oldstyle Book" w:hAnsi="ITC Berkeley Oldstyle Book" w:cs="Times New Roman"/>
        </w:rPr>
        <w:t>Diante do exposto, solicito o apoio dos nobres pares para aprovação deste Projeto de Lei</w:t>
      </w:r>
      <w:r w:rsidR="003A3F97" w:rsidRPr="003A3F97">
        <w:rPr>
          <w:rFonts w:ascii="ITC Berkeley Oldstyle Book" w:hAnsi="ITC Berkeley Oldstyle Book" w:cs="Times New Roman"/>
        </w:rPr>
        <w:t>.</w:t>
      </w:r>
    </w:p>
    <w:p w14:paraId="2327888F" w14:textId="77777777" w:rsidR="003C2621" w:rsidRPr="00BC12BF" w:rsidRDefault="003C2621" w:rsidP="003C2621">
      <w:pPr>
        <w:spacing w:after="0" w:line="288" w:lineRule="auto"/>
        <w:jc w:val="both"/>
        <w:rPr>
          <w:rFonts w:ascii="ITC Berkeley Oldstyle Book" w:hAnsi="ITC Berkeley Oldstyle Book" w:cs="Times New Roman"/>
          <w:sz w:val="24"/>
          <w:szCs w:val="24"/>
        </w:rPr>
      </w:pPr>
    </w:p>
    <w:p w14:paraId="77F789B6" w14:textId="62093A7F" w:rsidR="00823735" w:rsidRPr="00BC12BF" w:rsidRDefault="003C2621" w:rsidP="00325599">
      <w:pPr>
        <w:spacing w:after="0" w:line="288" w:lineRule="auto"/>
        <w:ind w:firstLine="708"/>
        <w:jc w:val="right"/>
        <w:rPr>
          <w:rFonts w:ascii="ITC Berkeley Oldstyle Book" w:hAnsi="ITC Berkeley Oldstyle Book" w:cs="Times New Roman"/>
          <w:sz w:val="24"/>
          <w:szCs w:val="24"/>
        </w:rPr>
      </w:pPr>
      <w:r>
        <w:rPr>
          <w:rFonts w:ascii="ITC Berkeley Oldstyle Book" w:hAnsi="ITC Berkeley Oldstyle Book" w:cs="Times New Roman"/>
        </w:rPr>
        <w:t xml:space="preserve">Augustinópolis - </w:t>
      </w:r>
      <w:r w:rsidR="00823735" w:rsidRPr="003C2621">
        <w:rPr>
          <w:rFonts w:ascii="ITC Berkeley Oldstyle Book" w:hAnsi="ITC Berkeley Oldstyle Book" w:cs="Times New Roman"/>
        </w:rPr>
        <w:t xml:space="preserve">TO, </w:t>
      </w:r>
      <w:r w:rsidR="00BC3EA0">
        <w:rPr>
          <w:rFonts w:ascii="ITC Berkeley Oldstyle Book" w:hAnsi="ITC Berkeley Oldstyle Book" w:cs="Times New Roman"/>
        </w:rPr>
        <w:t>0</w:t>
      </w:r>
      <w:r w:rsidR="003A3F97">
        <w:rPr>
          <w:rFonts w:ascii="ITC Berkeley Oldstyle Book" w:hAnsi="ITC Berkeley Oldstyle Book" w:cs="Times New Roman"/>
        </w:rPr>
        <w:t>3</w:t>
      </w:r>
      <w:r w:rsidR="00823735" w:rsidRPr="003C2621">
        <w:rPr>
          <w:rFonts w:ascii="ITC Berkeley Oldstyle Book" w:hAnsi="ITC Berkeley Oldstyle Book" w:cs="Times New Roman"/>
        </w:rPr>
        <w:t xml:space="preserve"> de </w:t>
      </w:r>
      <w:r w:rsidR="00BC3EA0">
        <w:rPr>
          <w:rFonts w:ascii="ITC Berkeley Oldstyle Book" w:hAnsi="ITC Berkeley Oldstyle Book" w:cs="Times New Roman"/>
        </w:rPr>
        <w:t xml:space="preserve">dezembro </w:t>
      </w:r>
      <w:r w:rsidR="00977979" w:rsidRPr="003C2621">
        <w:rPr>
          <w:rFonts w:ascii="ITC Berkeley Oldstyle Book" w:hAnsi="ITC Berkeley Oldstyle Book" w:cs="Times New Roman"/>
        </w:rPr>
        <w:t>de</w:t>
      </w:r>
      <w:r w:rsidR="00823735" w:rsidRPr="003C2621">
        <w:rPr>
          <w:rFonts w:ascii="ITC Berkeley Oldstyle Book" w:hAnsi="ITC Berkeley Oldstyle Book" w:cs="Times New Roman"/>
        </w:rPr>
        <w:t xml:space="preserve"> 2025</w:t>
      </w:r>
      <w:r w:rsidR="00823735" w:rsidRPr="00BC12BF">
        <w:rPr>
          <w:rFonts w:ascii="ITC Berkeley Oldstyle Book" w:hAnsi="ITC Berkeley Oldstyle Book" w:cs="Times New Roman"/>
          <w:sz w:val="24"/>
          <w:szCs w:val="24"/>
        </w:rPr>
        <w:t xml:space="preserve">. </w:t>
      </w:r>
    </w:p>
    <w:p w14:paraId="6E6B076C" w14:textId="77777777" w:rsidR="00823735" w:rsidRPr="00BC12BF" w:rsidRDefault="00823735" w:rsidP="00911060">
      <w:pPr>
        <w:spacing w:after="0" w:line="288" w:lineRule="auto"/>
        <w:ind w:firstLine="708"/>
        <w:rPr>
          <w:rFonts w:ascii="ITC Berkeley Oldstyle Book" w:hAnsi="ITC Berkeley Oldstyle Book" w:cs="Times New Roman"/>
          <w:sz w:val="24"/>
          <w:szCs w:val="24"/>
        </w:rPr>
      </w:pPr>
      <w:r w:rsidRPr="00BC12BF">
        <w:rPr>
          <w:rFonts w:ascii="ITC Berkeley Oldstyle Book" w:hAnsi="ITC Berkeley Oldstyle Book" w:cs="Times New Roman"/>
          <w:sz w:val="24"/>
          <w:szCs w:val="24"/>
        </w:rPr>
        <w:t xml:space="preserve">                                                             </w:t>
      </w:r>
    </w:p>
    <w:p w14:paraId="6B466EDA" w14:textId="77777777" w:rsidR="00325599" w:rsidRPr="00BC12BF" w:rsidRDefault="00325599" w:rsidP="00911060">
      <w:pPr>
        <w:spacing w:after="0" w:line="288" w:lineRule="auto"/>
        <w:ind w:firstLine="708"/>
        <w:jc w:val="center"/>
        <w:rPr>
          <w:rFonts w:ascii="ITC Berkeley Oldstyle Book" w:hAnsi="ITC Berkeley Oldstyle Book" w:cs="Times New Roman"/>
          <w:b/>
          <w:bCs/>
          <w:sz w:val="24"/>
          <w:szCs w:val="24"/>
        </w:rPr>
      </w:pPr>
    </w:p>
    <w:p w14:paraId="5A354F3A" w14:textId="19C9E881" w:rsidR="003B3264" w:rsidRPr="00EA47B1" w:rsidRDefault="003B3264" w:rsidP="00BC3EA0">
      <w:pPr>
        <w:spacing w:after="0" w:line="240" w:lineRule="auto"/>
        <w:jc w:val="center"/>
        <w:rPr>
          <w:rFonts w:ascii="ITC Berkeley Oldstyle Book" w:hAnsi="ITC Berkeley Oldstyle Book" w:cs="Times New Roman"/>
          <w:b/>
          <w:bCs/>
          <w:sz w:val="28"/>
          <w:szCs w:val="32"/>
        </w:rPr>
      </w:pPr>
      <w:r>
        <w:rPr>
          <w:rFonts w:ascii="ITC Berkeley Oldstyle Book" w:hAnsi="ITC Berkeley Oldstyle Book" w:cs="Times New Roman"/>
          <w:b/>
          <w:bCs/>
        </w:rPr>
        <w:t>ANTONIO SILVA FEITOSA</w:t>
      </w:r>
    </w:p>
    <w:p w14:paraId="2A61CFAD" w14:textId="77777777" w:rsidR="00BC3EA0" w:rsidRDefault="00BC3EA0" w:rsidP="00BC3EA0">
      <w:pPr>
        <w:spacing w:after="0" w:line="240" w:lineRule="auto"/>
        <w:jc w:val="center"/>
        <w:rPr>
          <w:rFonts w:ascii="ITC Berkeley Oldstyle Book" w:hAnsi="ITC Berkeley Oldstyle Book" w:cs="Times New Roman"/>
          <w:sz w:val="24"/>
          <w:szCs w:val="24"/>
        </w:rPr>
      </w:pPr>
      <w:r w:rsidRPr="008034C9">
        <w:rPr>
          <w:rFonts w:ascii="ITC Berkeley Oldstyle Book" w:hAnsi="ITC Berkeley Oldstyle Book" w:cs="Times New Roman"/>
          <w:sz w:val="24"/>
          <w:szCs w:val="24"/>
        </w:rPr>
        <w:t>Vereador</w:t>
      </w:r>
    </w:p>
    <w:p w14:paraId="4A2D4374" w14:textId="77777777" w:rsidR="003B3264" w:rsidRDefault="003B3264" w:rsidP="003B3264">
      <w:pPr>
        <w:spacing w:after="0" w:line="360" w:lineRule="auto"/>
        <w:ind w:left="284" w:firstLine="708"/>
        <w:rPr>
          <w:rFonts w:ascii="ITC Berkeley Oldstyle Book" w:hAnsi="ITC Berkeley Oldstyle Book" w:cs="Times New Roman"/>
          <w:sz w:val="24"/>
          <w:szCs w:val="24"/>
        </w:rPr>
      </w:pPr>
    </w:p>
    <w:p w14:paraId="574ADA3A" w14:textId="77777777" w:rsidR="003B3264" w:rsidRPr="003B3264" w:rsidRDefault="003B3264" w:rsidP="003B3264">
      <w:pPr>
        <w:spacing w:after="0" w:line="360" w:lineRule="auto"/>
        <w:rPr>
          <w:rFonts w:ascii="ITC Berkeley Oldstyle Book" w:hAnsi="ITC Berkeley Oldstyle Book" w:cs="Times New Roman"/>
          <w:b/>
          <w:bCs/>
        </w:rPr>
      </w:pPr>
    </w:p>
    <w:sectPr w:rsidR="003B3264" w:rsidRPr="003B3264" w:rsidSect="008D6336">
      <w:headerReference w:type="default" r:id="rId7"/>
      <w:pgSz w:w="11906" w:h="16838"/>
      <w:pgMar w:top="70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ADC527" w14:textId="77777777" w:rsidR="00DA1BFA" w:rsidRDefault="00DA1BFA" w:rsidP="006E504F">
      <w:pPr>
        <w:spacing w:after="0" w:line="240" w:lineRule="auto"/>
      </w:pPr>
      <w:r>
        <w:separator/>
      </w:r>
    </w:p>
  </w:endnote>
  <w:endnote w:type="continuationSeparator" w:id="0">
    <w:p w14:paraId="10ABE658" w14:textId="77777777" w:rsidR="00DA1BFA" w:rsidRDefault="00DA1BFA" w:rsidP="006E50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ITC Berkeley Oldstyle Book">
    <w:altName w:val="Calibri"/>
    <w:panose1 w:val="00000000000000000000"/>
    <w:charset w:val="00"/>
    <w:family w:val="modern"/>
    <w:notTrueType/>
    <w:pitch w:val="variable"/>
    <w:sig w:usb0="A000002F" w:usb1="40000048" w:usb2="00000000" w:usb3="00000000" w:csb0="0000011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E7C8D4" w14:textId="77777777" w:rsidR="00DA1BFA" w:rsidRDefault="00DA1BFA" w:rsidP="006E504F">
      <w:pPr>
        <w:spacing w:after="0" w:line="240" w:lineRule="auto"/>
      </w:pPr>
      <w:r>
        <w:separator/>
      </w:r>
    </w:p>
  </w:footnote>
  <w:footnote w:type="continuationSeparator" w:id="0">
    <w:p w14:paraId="2F1850A5" w14:textId="77777777" w:rsidR="00DA1BFA" w:rsidRDefault="00DA1BFA" w:rsidP="006E50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5A3B8D" w14:textId="77777777" w:rsidR="00C141AD" w:rsidRPr="00A44681" w:rsidRDefault="00C141AD" w:rsidP="00C141AD">
    <w:pPr>
      <w:keepNext/>
      <w:spacing w:after="0" w:line="240" w:lineRule="auto"/>
      <w:jc w:val="center"/>
      <w:outlineLvl w:val="1"/>
      <w:rPr>
        <w:rFonts w:ascii="Arial" w:eastAsia="Times New Roman" w:hAnsi="Arial" w:cs="Arial"/>
        <w:b/>
        <w:sz w:val="24"/>
        <w:szCs w:val="24"/>
      </w:rPr>
    </w:pPr>
    <w:r>
      <w:rPr>
        <w:rFonts w:ascii="Calibri" w:eastAsia="Times New Roman" w:hAnsi="Calibri" w:cs="Times New Roman"/>
        <w:b/>
        <w:noProof/>
        <w:szCs w:val="20"/>
      </w:rPr>
      <w:drawing>
        <wp:inline distT="0" distB="0" distL="0" distR="0" wp14:anchorId="77397325" wp14:editId="7203490D">
          <wp:extent cx="925195" cy="829310"/>
          <wp:effectExtent l="0" t="0" r="8255" b="8890"/>
          <wp:docPr id="1822071091" name="Imagem 1822071091" descr="Descrição: C:\Users\CAMARA\Downloads\LOGO_CAMARA_MUNICIPAL_OK cóp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4" descr="Descrição: C:\Users\CAMARA\Downloads\LOGO_CAMARA_MUNICIPAL_OK cópia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5195" cy="829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FAB602C" w14:textId="77777777" w:rsidR="00C141AD" w:rsidRPr="00A44681" w:rsidRDefault="00C141AD" w:rsidP="00C141AD">
    <w:pPr>
      <w:keepNext/>
      <w:spacing w:after="0" w:line="240" w:lineRule="auto"/>
      <w:jc w:val="center"/>
      <w:outlineLvl w:val="1"/>
      <w:rPr>
        <w:rFonts w:ascii="Arial" w:eastAsia="Times New Roman" w:hAnsi="Arial" w:cs="Arial"/>
        <w:b/>
        <w:sz w:val="20"/>
        <w:szCs w:val="24"/>
      </w:rPr>
    </w:pPr>
    <w:r w:rsidRPr="00A44681">
      <w:rPr>
        <w:rFonts w:ascii="Arial" w:eastAsia="Times New Roman" w:hAnsi="Arial" w:cs="Arial"/>
        <w:b/>
        <w:sz w:val="20"/>
        <w:szCs w:val="24"/>
      </w:rPr>
      <w:t>PODER LEGISLATIVO</w:t>
    </w:r>
  </w:p>
  <w:p w14:paraId="2C954A8F" w14:textId="77777777" w:rsidR="00C141AD" w:rsidRPr="00A44681" w:rsidRDefault="00C141AD" w:rsidP="00C141AD">
    <w:pPr>
      <w:keepNext/>
      <w:spacing w:after="0" w:line="240" w:lineRule="auto"/>
      <w:jc w:val="center"/>
      <w:outlineLvl w:val="0"/>
      <w:rPr>
        <w:rFonts w:ascii="Arial" w:eastAsia="Times New Roman" w:hAnsi="Arial" w:cs="Arial"/>
        <w:b/>
        <w:bCs/>
        <w:sz w:val="20"/>
        <w:szCs w:val="24"/>
      </w:rPr>
    </w:pPr>
    <w:r w:rsidRPr="00A44681">
      <w:rPr>
        <w:rFonts w:ascii="Arial" w:eastAsia="Times New Roman" w:hAnsi="Arial" w:cs="Arial"/>
        <w:b/>
        <w:bCs/>
        <w:sz w:val="20"/>
        <w:szCs w:val="24"/>
      </w:rPr>
      <w:t>CÂMARA MUNICIPAL DE AUGUSTINÓPOLIS</w:t>
    </w:r>
  </w:p>
  <w:p w14:paraId="525DA22C" w14:textId="4684CF9A" w:rsidR="00C141AD" w:rsidRPr="00C141AD" w:rsidRDefault="00C141AD" w:rsidP="00C141AD">
    <w:pPr>
      <w:spacing w:after="0" w:line="240" w:lineRule="auto"/>
      <w:jc w:val="center"/>
      <w:rPr>
        <w:rFonts w:ascii="Arial" w:eastAsia="Times New Roman" w:hAnsi="Arial" w:cs="Arial"/>
        <w:sz w:val="20"/>
        <w:szCs w:val="24"/>
      </w:rPr>
    </w:pPr>
    <w:r w:rsidRPr="00A44681">
      <w:rPr>
        <w:rFonts w:ascii="Arial" w:eastAsia="Times New Roman" w:hAnsi="Arial" w:cs="Arial"/>
        <w:sz w:val="20"/>
        <w:szCs w:val="24"/>
      </w:rPr>
      <w:t>CNPJ 25.065.699/0001-07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409"/>
    <w:rsid w:val="00021401"/>
    <w:rsid w:val="00045118"/>
    <w:rsid w:val="00050789"/>
    <w:rsid w:val="000532AA"/>
    <w:rsid w:val="0007120F"/>
    <w:rsid w:val="00073D46"/>
    <w:rsid w:val="000B3FCD"/>
    <w:rsid w:val="001147AE"/>
    <w:rsid w:val="00162DC0"/>
    <w:rsid w:val="001B4B10"/>
    <w:rsid w:val="001E1D3C"/>
    <w:rsid w:val="00202EC5"/>
    <w:rsid w:val="00202EDE"/>
    <w:rsid w:val="0023135E"/>
    <w:rsid w:val="0024484A"/>
    <w:rsid w:val="002565B1"/>
    <w:rsid w:val="002E69DE"/>
    <w:rsid w:val="00325599"/>
    <w:rsid w:val="00352D58"/>
    <w:rsid w:val="003A3F97"/>
    <w:rsid w:val="003B3264"/>
    <w:rsid w:val="003B383B"/>
    <w:rsid w:val="003C0FD5"/>
    <w:rsid w:val="003C2621"/>
    <w:rsid w:val="00483F1B"/>
    <w:rsid w:val="0054433E"/>
    <w:rsid w:val="00583E24"/>
    <w:rsid w:val="00585835"/>
    <w:rsid w:val="00642C73"/>
    <w:rsid w:val="006E504F"/>
    <w:rsid w:val="00723626"/>
    <w:rsid w:val="0077677F"/>
    <w:rsid w:val="007A152B"/>
    <w:rsid w:val="008034C9"/>
    <w:rsid w:val="00823735"/>
    <w:rsid w:val="008616F4"/>
    <w:rsid w:val="00875C85"/>
    <w:rsid w:val="00876A13"/>
    <w:rsid w:val="0088488F"/>
    <w:rsid w:val="008A0AFA"/>
    <w:rsid w:val="008A41F6"/>
    <w:rsid w:val="008D6336"/>
    <w:rsid w:val="00911060"/>
    <w:rsid w:val="0095469E"/>
    <w:rsid w:val="00977979"/>
    <w:rsid w:val="009A4A91"/>
    <w:rsid w:val="009C7D40"/>
    <w:rsid w:val="009E3954"/>
    <w:rsid w:val="009F2197"/>
    <w:rsid w:val="00A528BC"/>
    <w:rsid w:val="00A61962"/>
    <w:rsid w:val="00AD311A"/>
    <w:rsid w:val="00B0543E"/>
    <w:rsid w:val="00B218FE"/>
    <w:rsid w:val="00B65A75"/>
    <w:rsid w:val="00BA3969"/>
    <w:rsid w:val="00BC12BF"/>
    <w:rsid w:val="00BC3EA0"/>
    <w:rsid w:val="00BF248D"/>
    <w:rsid w:val="00C141AD"/>
    <w:rsid w:val="00C163FE"/>
    <w:rsid w:val="00C2724D"/>
    <w:rsid w:val="00C35C63"/>
    <w:rsid w:val="00C47708"/>
    <w:rsid w:val="00C83C0A"/>
    <w:rsid w:val="00C95DED"/>
    <w:rsid w:val="00CD5197"/>
    <w:rsid w:val="00D559A5"/>
    <w:rsid w:val="00D67101"/>
    <w:rsid w:val="00DA1BFA"/>
    <w:rsid w:val="00DC29FD"/>
    <w:rsid w:val="00DE28E8"/>
    <w:rsid w:val="00DE7A49"/>
    <w:rsid w:val="00E0230D"/>
    <w:rsid w:val="00E5796E"/>
    <w:rsid w:val="00E70B3C"/>
    <w:rsid w:val="00EA47B1"/>
    <w:rsid w:val="00EB75E6"/>
    <w:rsid w:val="00EB7E80"/>
    <w:rsid w:val="00F12409"/>
    <w:rsid w:val="00F36E0B"/>
    <w:rsid w:val="00F50CF9"/>
    <w:rsid w:val="00F608CF"/>
    <w:rsid w:val="00FE5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36B171"/>
  <w15:chartTrackingRefBased/>
  <w15:docId w15:val="{D227F408-D6F3-4C59-999D-E3C222748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3735"/>
  </w:style>
  <w:style w:type="paragraph" w:styleId="Ttulo1">
    <w:name w:val="heading 1"/>
    <w:basedOn w:val="Normal"/>
    <w:next w:val="Normal"/>
    <w:link w:val="Ttulo1Char"/>
    <w:uiPriority w:val="9"/>
    <w:qFormat/>
    <w:rsid w:val="00F124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124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124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124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124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124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124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124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124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124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124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124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1240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12409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1240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1240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1240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1240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124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F124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124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F124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124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F1240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12409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F12409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124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12409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12409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6E50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E504F"/>
  </w:style>
  <w:style w:type="paragraph" w:styleId="Rodap">
    <w:name w:val="footer"/>
    <w:basedOn w:val="Normal"/>
    <w:link w:val="RodapChar"/>
    <w:uiPriority w:val="99"/>
    <w:unhideWhenUsed/>
    <w:rsid w:val="006E50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E50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9939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64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8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186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624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7668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8093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9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7407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59839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27243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85450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05225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3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34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966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820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829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251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1368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3178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18772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61290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78154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82606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76228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05668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049367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46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79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70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329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81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7780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8664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194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723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539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8325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8710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96338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774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60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170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397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248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7751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945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4407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34468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66750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55227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58075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34061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20621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59230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6694D0-F372-4C8E-9818-611A3E3F20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3</Pages>
  <Words>497</Words>
  <Characters>2685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Municipal</dc:creator>
  <cp:keywords/>
  <dc:description/>
  <cp:lastModifiedBy>Câmara Municipal</cp:lastModifiedBy>
  <cp:revision>19</cp:revision>
  <cp:lastPrinted>2025-10-21T19:50:00Z</cp:lastPrinted>
  <dcterms:created xsi:type="dcterms:W3CDTF">2025-02-26T16:43:00Z</dcterms:created>
  <dcterms:modified xsi:type="dcterms:W3CDTF">2025-12-02T19:01:00Z</dcterms:modified>
</cp:coreProperties>
</file>